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14:paraId="6474D06A" w14:textId="77777777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14:paraId="74CA02D1" w14:textId="77777777"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14:paraId="04DAFC9F" w14:textId="77777777"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14:paraId="601A1A6E" w14:textId="77777777" w:rsidR="00487368" w:rsidRPr="00F62D86" w:rsidRDefault="00487368" w:rsidP="00487368"/>
        </w:tc>
      </w:tr>
      <w:tr w:rsidR="00F62D86" w:rsidRPr="00F62D86" w14:paraId="4DCC51EC" w14:textId="77777777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C6645" w14:textId="77777777"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C5743" w14:textId="19652EF7" w:rsidR="006555AE" w:rsidRPr="00F350BB" w:rsidRDefault="00383BCE" w:rsidP="00C176A4">
            <w:pPr>
              <w:jc w:val="both"/>
              <w:rPr>
                <w:bCs/>
              </w:rPr>
            </w:pPr>
            <w:r>
              <w:rPr>
                <w:bCs/>
              </w:rPr>
              <w:t>Odluka o izmjenama i dopuna Odluke o socijalnoj skrbi</w:t>
            </w:r>
          </w:p>
        </w:tc>
      </w:tr>
      <w:tr w:rsidR="00F62D86" w:rsidRPr="00F62D86" w14:paraId="14B78262" w14:textId="77777777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FA77F" w14:textId="77777777"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46D07" w14:textId="4CB6E477" w:rsidR="00487368" w:rsidRPr="00F350BB" w:rsidRDefault="00F350BB" w:rsidP="00F350BB">
            <w:pPr>
              <w:jc w:val="both"/>
              <w:rPr>
                <w:bCs/>
              </w:rPr>
            </w:pPr>
            <w:r w:rsidRPr="00F350BB">
              <w:rPr>
                <w:bCs/>
              </w:rPr>
              <w:t>Gradski ured za socijalnu zaštitu, zdravstvo, branitelje i osobe  s invaliditetom</w:t>
            </w:r>
          </w:p>
        </w:tc>
      </w:tr>
      <w:tr w:rsidR="00F62D86" w:rsidRPr="00F62D86" w14:paraId="1B0F19E6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1AA90" w14:textId="77777777"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942A9" w14:textId="46BB88ED" w:rsidR="00487368" w:rsidRPr="00F350BB" w:rsidRDefault="00185D22" w:rsidP="0003590B">
            <w:pPr>
              <w:rPr>
                <w:bCs/>
              </w:rPr>
            </w:pPr>
            <w:r>
              <w:rPr>
                <w:bCs/>
              </w:rPr>
              <w:t>29.03.20</w:t>
            </w:r>
            <w:r w:rsidR="00383BCE">
              <w:rPr>
                <w:bCs/>
              </w:rPr>
              <w:t>24.-28.04.2024.</w:t>
            </w:r>
          </w:p>
        </w:tc>
      </w:tr>
      <w:tr w:rsidR="00F62D86" w:rsidRPr="00F62D86" w14:paraId="0F841BAF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1517D" w14:textId="77777777"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00673" w14:textId="77777777"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14:paraId="3DED019D" w14:textId="77777777" w:rsidR="006555AE" w:rsidRDefault="006555AE" w:rsidP="00487368"/>
    <w:p w14:paraId="06B0185F" w14:textId="77777777" w:rsidR="00BD75B8" w:rsidRPr="00C57758" w:rsidRDefault="00BD75B8" w:rsidP="00487368">
      <w:pPr>
        <w:rPr>
          <w:b/>
          <w:bCs/>
        </w:rPr>
      </w:pPr>
    </w:p>
    <w:p w14:paraId="5608A519" w14:textId="77777777" w:rsidR="00BD75B8" w:rsidRDefault="00BD75B8" w:rsidP="00487368"/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1721"/>
        <w:gridCol w:w="1701"/>
        <w:gridCol w:w="3402"/>
        <w:gridCol w:w="2835"/>
      </w:tblGrid>
      <w:tr w:rsidR="004F53B0" w14:paraId="7C04F72E" w14:textId="77777777" w:rsidTr="001B237F">
        <w:tc>
          <w:tcPr>
            <w:tcW w:w="690" w:type="dxa"/>
          </w:tcPr>
          <w:p w14:paraId="711B12C9" w14:textId="2529C670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Red.</w:t>
            </w:r>
          </w:p>
          <w:p w14:paraId="41CA6FAF" w14:textId="36AC9DE9" w:rsidR="00BD75B8" w:rsidRPr="00BD75B8" w:rsidRDefault="00BD75B8" w:rsidP="00C57758">
            <w:pPr>
              <w:jc w:val="center"/>
              <w:rPr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br.</w:t>
            </w:r>
          </w:p>
        </w:tc>
        <w:tc>
          <w:tcPr>
            <w:tcW w:w="1721" w:type="dxa"/>
          </w:tcPr>
          <w:p w14:paraId="4AB527B1" w14:textId="15F48C56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Predstavnic</w:t>
            </w:r>
            <w:r w:rsidR="00C57758">
              <w:rPr>
                <w:rFonts w:eastAsia="TimesNewRomanPSMT"/>
                <w:b/>
                <w:bCs/>
              </w:rPr>
              <w:t>i</w:t>
            </w:r>
          </w:p>
          <w:p w14:paraId="22C081ED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javnosti</w:t>
            </w:r>
          </w:p>
          <w:p w14:paraId="4E4525A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(pojedinac,</w:t>
            </w:r>
          </w:p>
          <w:p w14:paraId="6036CAFF" w14:textId="77777777" w:rsidR="00C5775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organizacija</w:t>
            </w:r>
          </w:p>
          <w:p w14:paraId="0E2B6D4F" w14:textId="7AE28C8C" w:rsidR="00BD75B8" w:rsidRPr="00C57758" w:rsidRDefault="00BD75B8" w:rsidP="009E6C65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,institucija)</w:t>
            </w:r>
          </w:p>
        </w:tc>
        <w:tc>
          <w:tcPr>
            <w:tcW w:w="1701" w:type="dxa"/>
          </w:tcPr>
          <w:p w14:paraId="17B066C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Članak na</w:t>
            </w:r>
          </w:p>
          <w:p w14:paraId="6563C4D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koji se</w:t>
            </w:r>
          </w:p>
          <w:p w14:paraId="3F83898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odnosi</w:t>
            </w:r>
          </w:p>
          <w:p w14:paraId="343FF1EF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primjedba/</w:t>
            </w:r>
          </w:p>
          <w:p w14:paraId="330D3648" w14:textId="14313B43" w:rsidR="00BD75B8" w:rsidRPr="00BD75B8" w:rsidRDefault="00BD75B8" w:rsidP="00C57758">
            <w:pPr>
              <w:jc w:val="center"/>
              <w:rPr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prijedlog</w:t>
            </w:r>
          </w:p>
        </w:tc>
        <w:tc>
          <w:tcPr>
            <w:tcW w:w="3402" w:type="dxa"/>
          </w:tcPr>
          <w:p w14:paraId="260D2BA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Tekst primjedbe/</w:t>
            </w:r>
          </w:p>
          <w:p w14:paraId="1CE8460B" w14:textId="62508832" w:rsidR="00BD75B8" w:rsidRPr="00BD75B8" w:rsidRDefault="00BD75B8" w:rsidP="00C57758">
            <w:pPr>
              <w:jc w:val="center"/>
              <w:rPr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prijedloga</w:t>
            </w:r>
          </w:p>
        </w:tc>
        <w:tc>
          <w:tcPr>
            <w:tcW w:w="2835" w:type="dxa"/>
          </w:tcPr>
          <w:p w14:paraId="297B4CA3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Prihvaćanje/ neprihvaćanje</w:t>
            </w:r>
          </w:p>
          <w:p w14:paraId="7A37C980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primjedbe/ prijedloga sa</w:t>
            </w:r>
          </w:p>
          <w:p w14:paraId="15D3DE54" w14:textId="493A2DDC" w:rsidR="00BD75B8" w:rsidRPr="00BD75B8" w:rsidRDefault="00BD75B8" w:rsidP="00C57758">
            <w:pPr>
              <w:jc w:val="center"/>
              <w:rPr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obrazloženjem</w:t>
            </w:r>
          </w:p>
        </w:tc>
      </w:tr>
      <w:tr w:rsidR="004F53B0" w14:paraId="174C959E" w14:textId="77777777" w:rsidTr="001B237F">
        <w:trPr>
          <w:trHeight w:val="2590"/>
        </w:trPr>
        <w:tc>
          <w:tcPr>
            <w:tcW w:w="690" w:type="dxa"/>
          </w:tcPr>
          <w:p w14:paraId="658BA887" w14:textId="700A2626" w:rsidR="00BD75B8" w:rsidRDefault="00446F4C" w:rsidP="00487368">
            <w:r>
              <w:t>1.</w:t>
            </w:r>
          </w:p>
        </w:tc>
        <w:tc>
          <w:tcPr>
            <w:tcW w:w="1721" w:type="dxa"/>
          </w:tcPr>
          <w:p w14:paraId="39CD36F5" w14:textId="3D50FFBC" w:rsidR="00BD75B8" w:rsidRDefault="00185D22" w:rsidP="00487368">
            <w:r>
              <w:t xml:space="preserve">     </w:t>
            </w:r>
            <w:r w:rsidR="004361B6">
              <w:t>J.B.</w:t>
            </w:r>
          </w:p>
        </w:tc>
        <w:tc>
          <w:tcPr>
            <w:tcW w:w="1701" w:type="dxa"/>
          </w:tcPr>
          <w:p w14:paraId="10C22EC5" w14:textId="709C091A" w:rsidR="00BD75B8" w:rsidRDefault="00383BCE" w:rsidP="00487368">
            <w:r>
              <w:t xml:space="preserve">Članak 5. </w:t>
            </w:r>
          </w:p>
        </w:tc>
        <w:tc>
          <w:tcPr>
            <w:tcW w:w="3402" w:type="dxa"/>
          </w:tcPr>
          <w:p w14:paraId="75F4AD52" w14:textId="105B3502" w:rsidR="00383BCE" w:rsidRPr="00383BCE" w:rsidRDefault="00383BCE" w:rsidP="00185D22">
            <w:pPr>
              <w:jc w:val="both"/>
            </w:pPr>
            <w:r w:rsidRPr="00383BCE">
              <w:t>Vidio s</w:t>
            </w:r>
            <w:r w:rsidR="00185D22">
              <w:t>am</w:t>
            </w:r>
            <w:r w:rsidRPr="00383BCE">
              <w:t xml:space="preserve"> na </w:t>
            </w:r>
            <w:proofErr w:type="spellStart"/>
            <w:r w:rsidRPr="00383BCE">
              <w:t>fejsu</w:t>
            </w:r>
            <w:proofErr w:type="spellEnd"/>
            <w:r w:rsidRPr="00383BCE">
              <w:t xml:space="preserve"> da će pravo za pokaz za penzionere vrijediti od 01.06.</w:t>
            </w:r>
            <w:r w:rsidR="00185D22">
              <w:t>2024.</w:t>
            </w:r>
            <w:r w:rsidRPr="00383BCE">
              <w:t xml:space="preserve"> čim predamo papire, zadnji put kad sam nosio papire za pokaz od sestre  rekli su mi da se može voziti tek od idućeg mjeseca</w:t>
            </w:r>
            <w:r w:rsidR="00185D22">
              <w:t>,</w:t>
            </w:r>
            <w:r w:rsidRPr="00383BCE">
              <w:t xml:space="preserve"> jer je tak propisano. Gledam u Odluci i nigdje ne piše da ćemo se voziti besplatno od 01.06.</w:t>
            </w:r>
            <w:r w:rsidR="00185D22">
              <w:t>2024.</w:t>
            </w:r>
            <w:bookmarkStart w:id="0" w:name="_GoBack"/>
            <w:bookmarkEnd w:id="0"/>
          </w:p>
          <w:p w14:paraId="04890646" w14:textId="2A95D67A" w:rsidR="00BD75B8" w:rsidRDefault="00BD75B8" w:rsidP="00DC4D0E">
            <w:pPr>
              <w:jc w:val="both"/>
            </w:pPr>
          </w:p>
        </w:tc>
        <w:tc>
          <w:tcPr>
            <w:tcW w:w="2835" w:type="dxa"/>
          </w:tcPr>
          <w:p w14:paraId="0C572AFF" w14:textId="77777777" w:rsidR="003722CC" w:rsidRDefault="00383BCE" w:rsidP="00383BC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Prijedlog se prihvaća </w:t>
            </w:r>
          </w:p>
          <w:p w14:paraId="17C26294" w14:textId="4C8B45DB" w:rsidR="0003590B" w:rsidRPr="0003590B" w:rsidRDefault="0003590B" w:rsidP="0003590B">
            <w:pPr>
              <w:spacing w:after="160" w:line="259" w:lineRule="auto"/>
              <w:rPr>
                <w:bCs/>
              </w:rPr>
            </w:pPr>
          </w:p>
        </w:tc>
      </w:tr>
    </w:tbl>
    <w:p w14:paraId="29D4246D" w14:textId="77777777" w:rsidR="00BD75B8" w:rsidRPr="00F62D86" w:rsidRDefault="00BD75B8" w:rsidP="00487368"/>
    <w:sectPr w:rsidR="00BD75B8" w:rsidRPr="00F62D86" w:rsidSect="00C5775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73D89"/>
    <w:multiLevelType w:val="hybridMultilevel"/>
    <w:tmpl w:val="FF9EEFD4"/>
    <w:lvl w:ilvl="0" w:tplc="319E07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03590B"/>
    <w:rsid w:val="00040F42"/>
    <w:rsid w:val="00126231"/>
    <w:rsid w:val="00185D22"/>
    <w:rsid w:val="001B237F"/>
    <w:rsid w:val="00213B7F"/>
    <w:rsid w:val="0021407F"/>
    <w:rsid w:val="00244F2B"/>
    <w:rsid w:val="002A1BE0"/>
    <w:rsid w:val="002B40A1"/>
    <w:rsid w:val="00313306"/>
    <w:rsid w:val="003722CC"/>
    <w:rsid w:val="00383BCE"/>
    <w:rsid w:val="00423E43"/>
    <w:rsid w:val="004361B6"/>
    <w:rsid w:val="00446F4C"/>
    <w:rsid w:val="00485374"/>
    <w:rsid w:val="00487368"/>
    <w:rsid w:val="004F53B0"/>
    <w:rsid w:val="005961AD"/>
    <w:rsid w:val="005F5735"/>
    <w:rsid w:val="006542A2"/>
    <w:rsid w:val="006555AE"/>
    <w:rsid w:val="00706885"/>
    <w:rsid w:val="00776E40"/>
    <w:rsid w:val="007E71E0"/>
    <w:rsid w:val="00924301"/>
    <w:rsid w:val="009A5822"/>
    <w:rsid w:val="009B6CE1"/>
    <w:rsid w:val="009E6C65"/>
    <w:rsid w:val="00A04380"/>
    <w:rsid w:val="00AB25A6"/>
    <w:rsid w:val="00B801C5"/>
    <w:rsid w:val="00BC0F76"/>
    <w:rsid w:val="00BD029F"/>
    <w:rsid w:val="00BD75B8"/>
    <w:rsid w:val="00BF002D"/>
    <w:rsid w:val="00C176A4"/>
    <w:rsid w:val="00C57758"/>
    <w:rsid w:val="00CE18FC"/>
    <w:rsid w:val="00CE1F69"/>
    <w:rsid w:val="00DC4D0E"/>
    <w:rsid w:val="00DD1EF3"/>
    <w:rsid w:val="00E76E24"/>
    <w:rsid w:val="00E85330"/>
    <w:rsid w:val="00F350BB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FF059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4F5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3B0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3B0"/>
    <w:rPr>
      <w:rFonts w:asciiTheme="minorHAnsi" w:eastAsiaTheme="minorHAnsi" w:hAnsiTheme="minorHAnsi" w:cstheme="minorBidi"/>
      <w:lang w:val="en-GB" w:eastAsia="en-US"/>
    </w:rPr>
  </w:style>
  <w:style w:type="character" w:styleId="Strong">
    <w:name w:val="Strong"/>
    <w:basedOn w:val="DefaultParagraphFont"/>
    <w:uiPriority w:val="22"/>
    <w:qFormat/>
    <w:rsid w:val="001B2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8129-C8D6-4304-BD12-96A29B37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Tihana Zadro</cp:lastModifiedBy>
  <cp:revision>5</cp:revision>
  <cp:lastPrinted>2019-08-16T06:48:00Z</cp:lastPrinted>
  <dcterms:created xsi:type="dcterms:W3CDTF">2024-04-29T08:37:00Z</dcterms:created>
  <dcterms:modified xsi:type="dcterms:W3CDTF">2024-04-29T12:56:00Z</dcterms:modified>
</cp:coreProperties>
</file>